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40"/>
          <w:szCs w:val="40"/>
        </w:rPr>
      </w:pPr>
      <w:r>
        <w:rPr>
          <w:rFonts w:hint="eastAsia" w:ascii="宋体" w:hAnsi="宋体" w:eastAsia="宋体" w:cs="宋体"/>
          <w:sz w:val="40"/>
          <w:szCs w:val="40"/>
        </w:rPr>
        <w:t>加快推进</w:t>
      </w:r>
      <w:r>
        <w:rPr>
          <w:rFonts w:hint="eastAsia" w:ascii="宋体" w:hAnsi="宋体" w:eastAsia="宋体" w:cs="宋体"/>
          <w:sz w:val="40"/>
          <w:szCs w:val="40"/>
          <w:lang w:val="en-US" w:eastAsia="zh-CN"/>
        </w:rPr>
        <w:t>我区重点</w:t>
      </w:r>
      <w:r>
        <w:rPr>
          <w:rFonts w:hint="eastAsia" w:ascii="宋体" w:hAnsi="宋体" w:eastAsia="宋体" w:cs="宋体"/>
          <w:sz w:val="40"/>
          <w:szCs w:val="40"/>
        </w:rPr>
        <w:t>企业数据资产入表</w:t>
      </w:r>
      <w:r>
        <w:rPr>
          <w:rFonts w:hint="eastAsia" w:ascii="宋体" w:hAnsi="宋体" w:eastAsia="宋体" w:cs="宋体"/>
          <w:sz w:val="40"/>
          <w:szCs w:val="40"/>
          <w:lang w:eastAsia="zh-CN"/>
        </w:rPr>
        <w:t>的</w:t>
      </w:r>
      <w:r>
        <w:rPr>
          <w:rFonts w:hint="eastAsia" w:ascii="宋体" w:hAnsi="宋体" w:eastAsia="宋体" w:cs="宋体"/>
          <w:sz w:val="40"/>
          <w:szCs w:val="40"/>
        </w:rPr>
        <w:t>建议</w:t>
      </w:r>
    </w:p>
    <w:p>
      <w:pPr>
        <w:spacing w:line="360" w:lineRule="auto"/>
        <w:jc w:val="center"/>
        <w:rPr>
          <w:rFonts w:hint="eastAsia" w:ascii="仿宋" w:hAnsi="仿宋" w:eastAsia="仿宋" w:cs="仿宋"/>
          <w:sz w:val="32"/>
          <w:szCs w:val="32"/>
        </w:rPr>
      </w:pPr>
    </w:p>
    <w:p>
      <w:pPr>
        <w:numPr>
          <w:ilvl w:val="0"/>
          <w:numId w:val="1"/>
        </w:numPr>
        <w:spacing w:line="360" w:lineRule="auto"/>
        <w:ind w:left="0" w:leftChars="0" w:firstLine="0" w:firstLineChars="0"/>
        <w:rPr>
          <w:rFonts w:hint="eastAsia" w:ascii="仿宋" w:hAnsi="仿宋" w:eastAsia="仿宋" w:cs="仿宋"/>
          <w:b/>
          <w:bCs/>
          <w:sz w:val="32"/>
          <w:szCs w:val="32"/>
        </w:rPr>
      </w:pPr>
      <w:r>
        <w:rPr>
          <w:rFonts w:hint="eastAsia" w:ascii="仿宋" w:hAnsi="仿宋" w:eastAsia="仿宋" w:cs="仿宋"/>
          <w:b/>
          <w:bCs/>
          <w:sz w:val="32"/>
          <w:szCs w:val="32"/>
          <w:lang w:val="en-US" w:eastAsia="zh-CN"/>
        </w:rPr>
        <w:t>背景情况</w:t>
      </w:r>
    </w:p>
    <w:p>
      <w:pPr>
        <w:numPr>
          <w:ilvl w:val="0"/>
          <w:numId w:val="0"/>
        </w:numPr>
        <w:spacing w:line="360" w:lineRule="auto"/>
        <w:ind w:left="0" w:leftChars="0" w:firstLine="640" w:firstLineChars="200"/>
        <w:rPr>
          <w:rFonts w:hint="eastAsia" w:ascii="仿宋" w:hAnsi="仿宋" w:eastAsia="仿宋" w:cs="仿宋"/>
          <w:sz w:val="32"/>
          <w:szCs w:val="32"/>
          <w:lang w:eastAsia="zh-CN"/>
        </w:rPr>
      </w:pPr>
      <w:r>
        <w:rPr>
          <w:rFonts w:hint="default" w:ascii="仿宋" w:hAnsi="仿宋" w:eastAsia="仿宋" w:cs="仿宋"/>
          <w:sz w:val="32"/>
          <w:szCs w:val="32"/>
        </w:rPr>
        <w:t>为深入贯彻落实党中央关于构建数据基础制度的决策部署，规范和加强数据资产管理，更好</w:t>
      </w:r>
      <w:bookmarkStart w:id="0" w:name="_GoBack"/>
      <w:bookmarkEnd w:id="0"/>
      <w:r>
        <w:rPr>
          <w:rFonts w:hint="default" w:ascii="仿宋" w:hAnsi="仿宋" w:eastAsia="仿宋" w:cs="仿宋"/>
          <w:sz w:val="32"/>
          <w:szCs w:val="32"/>
        </w:rPr>
        <w:t>推动数字经济发展，根据《中华人民共和国网络安全法》、《中华人民共和国数据安全法》、《中华人民共和国个人信息保护法》等，</w:t>
      </w:r>
      <w:r>
        <w:rPr>
          <w:rFonts w:hint="eastAsia" w:ascii="仿宋" w:hAnsi="仿宋" w:eastAsia="仿宋" w:cs="仿宋"/>
          <w:sz w:val="32"/>
          <w:szCs w:val="32"/>
          <w:lang w:val="en-US" w:eastAsia="zh-CN"/>
        </w:rPr>
        <w:t>国家财政部于</w:t>
      </w:r>
      <w:r>
        <w:rPr>
          <w:rFonts w:hint="eastAsia" w:ascii="仿宋" w:hAnsi="仿宋" w:eastAsia="仿宋" w:cs="仿宋"/>
          <w:sz w:val="32"/>
          <w:szCs w:val="32"/>
        </w:rPr>
        <w:t>2023年12月31日</w:t>
      </w:r>
      <w:r>
        <w:rPr>
          <w:rFonts w:hint="default" w:ascii="仿宋" w:hAnsi="仿宋" w:eastAsia="仿宋" w:cs="仿宋"/>
          <w:sz w:val="32"/>
          <w:szCs w:val="32"/>
        </w:rPr>
        <w:t>制定</w:t>
      </w:r>
      <w:r>
        <w:rPr>
          <w:rFonts w:hint="eastAsia" w:ascii="仿宋" w:hAnsi="仿宋" w:eastAsia="仿宋" w:cs="仿宋"/>
          <w:sz w:val="32"/>
          <w:szCs w:val="32"/>
          <w:lang w:val="en-US" w:eastAsia="zh-CN"/>
        </w:rPr>
        <w:t>并发布</w:t>
      </w:r>
      <w:r>
        <w:rPr>
          <w:rFonts w:hint="default" w:ascii="仿宋" w:hAnsi="仿宋" w:eastAsia="仿宋" w:cs="仿宋"/>
          <w:sz w:val="32"/>
          <w:szCs w:val="32"/>
        </w:rPr>
        <w:t>了《关于加强数据资产管理的指导意见》</w:t>
      </w:r>
      <w:r>
        <w:rPr>
          <w:rFonts w:hint="eastAsia" w:ascii="仿宋" w:hAnsi="仿宋" w:eastAsia="仿宋" w:cs="仿宋"/>
          <w:sz w:val="32"/>
          <w:szCs w:val="32"/>
          <w:lang w:eastAsia="zh-CN"/>
        </w:rPr>
        <w:t>（财资〔2023〕141号）。</w:t>
      </w:r>
    </w:p>
    <w:p>
      <w:pPr>
        <w:numPr>
          <w:ilvl w:val="0"/>
          <w:numId w:val="0"/>
        </w:numPr>
        <w:spacing w:line="360" w:lineRule="auto"/>
        <w:ind w:left="0" w:leftChars="0" w:firstLine="640" w:firstLineChars="200"/>
        <w:rPr>
          <w:rFonts w:hint="default" w:ascii="仿宋" w:hAnsi="仿宋" w:eastAsia="仿宋" w:cs="仿宋"/>
          <w:sz w:val="32"/>
          <w:szCs w:val="32"/>
        </w:rPr>
      </w:pPr>
      <w:r>
        <w:rPr>
          <w:rFonts w:hint="default" w:ascii="仿宋" w:hAnsi="仿宋" w:eastAsia="仿宋" w:cs="仿宋"/>
          <w:sz w:val="32"/>
          <w:szCs w:val="32"/>
        </w:rPr>
        <w:t>上海市在数据</w:t>
      </w:r>
      <w:r>
        <w:rPr>
          <w:rFonts w:hint="eastAsia" w:ascii="仿宋" w:hAnsi="仿宋" w:eastAsia="仿宋" w:cs="仿宋"/>
          <w:sz w:val="32"/>
          <w:szCs w:val="32"/>
          <w:lang w:val="en-US" w:eastAsia="zh-CN"/>
        </w:rPr>
        <w:t>作为知识产权的</w:t>
      </w:r>
      <w:r>
        <w:rPr>
          <w:rFonts w:hint="default" w:ascii="仿宋" w:hAnsi="仿宋" w:eastAsia="仿宋" w:cs="仿宋"/>
          <w:sz w:val="32"/>
          <w:szCs w:val="32"/>
        </w:rPr>
        <w:t>资产入表方面已取得显著进展，显示了在数据资产管理和技术创新方面的积极探索。然而，在确权、定价等方面仍面临挑战。上海作为国际化大都市，需要对标国际经验，加强与国际标准的接轨，以支撑数字经济的创新发展。</w:t>
      </w:r>
    </w:p>
    <w:p>
      <w:pPr>
        <w:numPr>
          <w:ilvl w:val="0"/>
          <w:numId w:val="0"/>
        </w:numPr>
        <w:spacing w:line="360" w:lineRule="auto"/>
        <w:ind w:left="0" w:leftChars="0" w:firstLine="640" w:firstLineChars="200"/>
        <w:rPr>
          <w:rFonts w:hint="default" w:ascii="仿宋" w:hAnsi="仿宋" w:eastAsia="仿宋" w:cs="仿宋"/>
          <w:sz w:val="32"/>
          <w:szCs w:val="32"/>
        </w:rPr>
      </w:pPr>
      <w:r>
        <w:rPr>
          <w:rFonts w:hint="default" w:ascii="仿宋" w:hAnsi="仿宋" w:eastAsia="仿宋" w:cs="仿宋"/>
          <w:sz w:val="32"/>
          <w:szCs w:val="32"/>
        </w:rPr>
        <w:t>闵行区制定了一系列的措施和方案来推动知识产权保护和利用。区副区长可晓林对闵行区围绕建设国家知识产权强市建设示范城区工作进行了全面部署，并提出了一些具体的工作方向。去年，闵行区成功地举办了“闵知惠”专利超市开业仪式，这是由闵行区知识产权局牵头联合构建的知识产权服务平台，旨在切实地帮助企业提供专利转让、许可等大量供需信息。</w:t>
      </w:r>
    </w:p>
    <w:p>
      <w:pPr>
        <w:numPr>
          <w:ilvl w:val="0"/>
          <w:numId w:val="0"/>
        </w:numPr>
        <w:spacing w:line="360" w:lineRule="auto"/>
        <w:ind w:left="0" w:leftChars="0" w:firstLine="640" w:firstLineChars="200"/>
        <w:rPr>
          <w:rFonts w:hint="default" w:ascii="仿宋" w:hAnsi="仿宋" w:eastAsia="仿宋" w:cs="仿宋"/>
          <w:sz w:val="32"/>
          <w:szCs w:val="32"/>
        </w:rPr>
      </w:pPr>
      <w:r>
        <w:rPr>
          <w:rFonts w:hint="eastAsia" w:ascii="仿宋" w:hAnsi="仿宋" w:eastAsia="仿宋" w:cs="仿宋"/>
          <w:sz w:val="32"/>
          <w:szCs w:val="32"/>
          <w:lang w:val="en-US" w:eastAsia="zh-CN"/>
        </w:rPr>
        <w:t>目前闵行正致力于打造具有国际影响力的知识产权中心区域，特别是在数据资产作为新型知识产权资产入表方面显示出积极探索的姿态。根据财政部资产管理司发布的《关于加强数据资产管理的指导意见》，上海市在数据资产管理和技术创新方面已取得显著进展，但在确权、定价等方面仍面临挑战。为了进一步支持数字经济的创新发展，闵行区需加强与国际标准的接轨，并完善数据要素的会计核算制度。</w:t>
      </w:r>
    </w:p>
    <w:p>
      <w:pPr>
        <w:numPr>
          <w:ilvl w:val="0"/>
          <w:numId w:val="0"/>
        </w:numPr>
        <w:spacing w:line="360" w:lineRule="auto"/>
        <w:ind w:left="0" w:leftChars="0" w:firstLine="640" w:firstLineChars="200"/>
        <w:rPr>
          <w:rFonts w:hint="default" w:ascii="仿宋" w:hAnsi="仿宋" w:eastAsia="仿宋" w:cs="仿宋"/>
          <w:sz w:val="32"/>
          <w:szCs w:val="32"/>
        </w:rPr>
      </w:pPr>
    </w:p>
    <w:p>
      <w:pPr>
        <w:numPr>
          <w:ilvl w:val="0"/>
          <w:numId w:val="1"/>
        </w:numPr>
        <w:spacing w:line="360" w:lineRule="auto"/>
        <w:ind w:left="0" w:leftChars="0" w:firstLine="0" w:firstLineChars="0"/>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问题及分析</w:t>
      </w:r>
    </w:p>
    <w:p>
      <w:pPr>
        <w:numPr>
          <w:ilvl w:val="0"/>
          <w:numId w:val="0"/>
        </w:numPr>
        <w:spacing w:line="360" w:lineRule="auto"/>
        <w:ind w:left="0" w:leftChars="0" w:firstLine="640" w:firstLineChars="200"/>
        <w:rPr>
          <w:rFonts w:hint="default" w:ascii="仿宋" w:hAnsi="仿宋" w:eastAsia="仿宋" w:cs="仿宋"/>
          <w:sz w:val="32"/>
          <w:szCs w:val="32"/>
        </w:rPr>
      </w:pPr>
      <w:r>
        <w:rPr>
          <w:rFonts w:hint="default" w:ascii="仿宋" w:hAnsi="仿宋" w:eastAsia="仿宋" w:cs="仿宋"/>
          <w:sz w:val="32"/>
          <w:szCs w:val="32"/>
        </w:rPr>
        <w:t>当前，在数据资产入表及其管理方面存在法律和管理上的挑战，如确权、定价难题尚待解决。同时，为了与国际接轨，必须考虑到国际经验和标准。结合《关于加强数据资产管理的指导意见》的要求，需要在数据资产权益明晰、分类分级保护、有效市场与有为政府相结合等方面进行创新和改革。</w:t>
      </w:r>
    </w:p>
    <w:p>
      <w:pPr>
        <w:numPr>
          <w:ilvl w:val="0"/>
          <w:numId w:val="0"/>
        </w:numPr>
        <w:spacing w:line="360" w:lineRule="auto"/>
        <w:ind w:left="0" w:leftChars="0" w:firstLine="640" w:firstLineChars="200"/>
        <w:rPr>
          <w:rFonts w:hint="default" w:ascii="仿宋" w:hAnsi="仿宋" w:eastAsia="仿宋" w:cs="仿宋"/>
          <w:sz w:val="32"/>
          <w:szCs w:val="32"/>
        </w:rPr>
      </w:pPr>
      <w:r>
        <w:rPr>
          <w:rFonts w:hint="default" w:ascii="仿宋" w:hAnsi="仿宋" w:eastAsia="仿宋" w:cs="仿宋"/>
          <w:sz w:val="32"/>
          <w:szCs w:val="32"/>
        </w:rPr>
        <w:t>数据资产入表是将数据确认为企业资产负债表中的“资产”一项，即数据资产入资产负债表，在财务报表中体现其真实价值与业务贡献。这一过程对于完善数据要素的会计核算制度具有重要意义。财政部印发的《企业数据资源相关会计处理暂行规定》指出，数据资源的会计处理应当按照企业会计准则执行，并区分为“企业内部使用的数据资源”和“企业对外交易的数据资源”两类。这些规定对于确保数据资产管理的合法合规性至关重要。</w:t>
      </w:r>
    </w:p>
    <w:p>
      <w:pPr>
        <w:numPr>
          <w:ilvl w:val="0"/>
          <w:numId w:val="0"/>
        </w:numPr>
        <w:spacing w:line="360" w:lineRule="auto"/>
        <w:ind w:left="0" w:leftChars="0" w:firstLine="640" w:firstLineChars="200"/>
        <w:rPr>
          <w:rFonts w:hint="default" w:ascii="仿宋" w:hAnsi="仿宋" w:eastAsia="仿宋" w:cs="仿宋"/>
          <w:sz w:val="32"/>
          <w:szCs w:val="32"/>
        </w:rPr>
      </w:pPr>
    </w:p>
    <w:p>
      <w:pPr>
        <w:numPr>
          <w:ilvl w:val="0"/>
          <w:numId w:val="1"/>
        </w:numPr>
        <w:spacing w:line="360" w:lineRule="auto"/>
        <w:ind w:left="0" w:leftChars="0" w:firstLine="0" w:firstLineChars="0"/>
        <w:rPr>
          <w:rFonts w:hint="eastAsia" w:ascii="仿宋" w:hAnsi="仿宋" w:eastAsia="仿宋" w:cs="仿宋"/>
          <w:b/>
          <w:bCs/>
          <w:sz w:val="32"/>
          <w:szCs w:val="32"/>
        </w:rPr>
      </w:pPr>
      <w:r>
        <w:rPr>
          <w:rFonts w:hint="eastAsia" w:ascii="仿宋" w:hAnsi="仿宋" w:eastAsia="仿宋" w:cs="仿宋"/>
          <w:b/>
          <w:bCs/>
          <w:sz w:val="32"/>
          <w:szCs w:val="32"/>
        </w:rPr>
        <w:t>建议和意见</w:t>
      </w:r>
    </w:p>
    <w:p>
      <w:pPr>
        <w:numPr>
          <w:ilvl w:val="0"/>
          <w:numId w:val="0"/>
        </w:numPr>
        <w:spacing w:line="360" w:lineRule="auto"/>
        <w:ind w:left="0" w:leftChars="0"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rPr>
        <w:t>上海在数据资产入表方面正处于积极探索和发展阶段，既面临着确权、定价等挑战，也在积极寻求技术创新和国际合作的机会，以支持数字经济的创新发展。</w:t>
      </w:r>
      <w:r>
        <w:rPr>
          <w:rFonts w:hint="eastAsia" w:ascii="仿宋" w:hAnsi="仿宋" w:eastAsia="仿宋" w:cs="仿宋"/>
          <w:sz w:val="32"/>
          <w:szCs w:val="32"/>
          <w:lang w:val="en-US" w:eastAsia="zh-CN"/>
        </w:rPr>
        <w:t>建议我区重点考虑以下几方面的情况：</w:t>
      </w:r>
    </w:p>
    <w:p>
      <w:pPr>
        <w:numPr>
          <w:ilvl w:val="0"/>
          <w:numId w:val="2"/>
        </w:numPr>
        <w:spacing w:line="360" w:lineRule="auto"/>
        <w:ind w:left="0" w:leftChars="0" w:firstLine="420" w:firstLineChars="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知识产权保护与创新发展：作为国家知识产权局首批数据知识产权工作的试点地区，</w:t>
      </w:r>
      <w:r>
        <w:rPr>
          <w:rFonts w:hint="eastAsia" w:ascii="仿宋" w:hAnsi="仿宋" w:eastAsia="仿宋" w:cs="仿宋"/>
          <w:sz w:val="32"/>
          <w:szCs w:val="32"/>
          <w:lang w:val="en-US" w:eastAsia="zh-CN"/>
        </w:rPr>
        <w:t>我区</w:t>
      </w:r>
      <w:r>
        <w:rPr>
          <w:rFonts w:hint="default" w:ascii="仿宋" w:hAnsi="仿宋" w:eastAsia="仿宋" w:cs="仿宋"/>
          <w:sz w:val="32"/>
          <w:szCs w:val="32"/>
          <w:lang w:val="en-US" w:eastAsia="zh-CN"/>
        </w:rPr>
        <w:t>正在积极探索数据知识产权登记制度。这对于数据资产的管理和保护非常</w:t>
      </w:r>
      <w:r>
        <w:rPr>
          <w:rFonts w:hint="eastAsia" w:ascii="仿宋" w:hAnsi="仿宋" w:eastAsia="仿宋" w:cs="仿宋"/>
          <w:sz w:val="32"/>
          <w:szCs w:val="32"/>
          <w:lang w:val="en-US" w:eastAsia="zh-CN"/>
        </w:rPr>
        <w:t>重要</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但是更需要在数据资产作为</w:t>
      </w:r>
      <w:r>
        <w:rPr>
          <w:rFonts w:hint="default" w:ascii="仿宋" w:hAnsi="仿宋" w:eastAsia="仿宋" w:cs="仿宋"/>
          <w:sz w:val="32"/>
          <w:szCs w:val="32"/>
          <w:lang w:val="en-US" w:eastAsia="zh-CN"/>
        </w:rPr>
        <w:t>知识产权方面有创新发展。</w:t>
      </w:r>
    </w:p>
    <w:p>
      <w:pPr>
        <w:numPr>
          <w:ilvl w:val="0"/>
          <w:numId w:val="2"/>
        </w:numPr>
        <w:spacing w:line="360" w:lineRule="auto"/>
        <w:ind w:left="0" w:leftChars="0" w:firstLine="420" w:firstLineChars="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数据资产入表的政策探索：</w:t>
      </w:r>
      <w:r>
        <w:rPr>
          <w:rFonts w:hint="eastAsia" w:ascii="仿宋" w:hAnsi="仿宋" w:eastAsia="仿宋" w:cs="仿宋"/>
          <w:sz w:val="32"/>
          <w:szCs w:val="32"/>
          <w:lang w:val="en-US" w:eastAsia="zh-CN"/>
        </w:rPr>
        <w:t>建议我区</w:t>
      </w:r>
      <w:r>
        <w:rPr>
          <w:rFonts w:hint="default" w:ascii="仿宋" w:hAnsi="仿宋" w:eastAsia="仿宋" w:cs="仿宋"/>
          <w:sz w:val="32"/>
          <w:szCs w:val="32"/>
          <w:lang w:val="en-US" w:eastAsia="zh-CN"/>
        </w:rPr>
        <w:t>与上海数据交易所合作，</w:t>
      </w:r>
      <w:r>
        <w:rPr>
          <w:rFonts w:hint="eastAsia" w:ascii="仿宋" w:hAnsi="仿宋" w:eastAsia="仿宋" w:cs="仿宋"/>
          <w:sz w:val="32"/>
          <w:szCs w:val="32"/>
          <w:lang w:val="en-US" w:eastAsia="zh-CN"/>
        </w:rPr>
        <w:t>已经</w:t>
      </w:r>
      <w:r>
        <w:rPr>
          <w:rFonts w:hint="default" w:ascii="仿宋" w:hAnsi="仿宋" w:eastAsia="仿宋" w:cs="仿宋"/>
          <w:sz w:val="32"/>
          <w:szCs w:val="32"/>
          <w:lang w:val="en-US" w:eastAsia="zh-CN"/>
        </w:rPr>
        <w:t>开发了数据知识产权登记系统和审查系统，在数据资产管理和入表方面有明显的技术和制度创新。</w:t>
      </w:r>
      <w:r>
        <w:rPr>
          <w:rFonts w:hint="eastAsia" w:ascii="仿宋" w:hAnsi="仿宋" w:eastAsia="仿宋" w:cs="仿宋"/>
          <w:sz w:val="32"/>
          <w:szCs w:val="32"/>
          <w:lang w:val="en-US" w:eastAsia="zh-CN"/>
        </w:rPr>
        <w:t>建议下一步推广使用，与现行知识产权的申报登记体系并轨。</w:t>
      </w:r>
    </w:p>
    <w:p>
      <w:pPr>
        <w:numPr>
          <w:ilvl w:val="0"/>
          <w:numId w:val="2"/>
        </w:numPr>
        <w:spacing w:line="360" w:lineRule="auto"/>
        <w:ind w:left="0" w:leftChars="0" w:firstLine="420" w:firstLineChars="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数据资产的法律和管理挑战：尽管上海在数据资产入表方面取得了一定进展，但如确权、定价等方面的法律和管理挑战依然存在。</w:t>
      </w:r>
      <w:r>
        <w:rPr>
          <w:rFonts w:hint="eastAsia" w:ascii="仿宋" w:hAnsi="仿宋" w:eastAsia="仿宋" w:cs="仿宋"/>
          <w:sz w:val="32"/>
          <w:szCs w:val="32"/>
          <w:lang w:val="en-US" w:eastAsia="zh-CN"/>
        </w:rPr>
        <w:t>建议我区跨前半步，</w:t>
      </w:r>
      <w:r>
        <w:rPr>
          <w:rFonts w:hint="default" w:ascii="仿宋" w:hAnsi="仿宋" w:eastAsia="仿宋" w:cs="仿宋"/>
          <w:sz w:val="32"/>
          <w:szCs w:val="32"/>
          <w:lang w:val="en-US" w:eastAsia="zh-CN"/>
        </w:rPr>
        <w:t>在保障数据安全和合规性的同时，促进数据资产的有效流通和应用</w:t>
      </w:r>
      <w:r>
        <w:rPr>
          <w:rFonts w:hint="eastAsia" w:ascii="仿宋" w:hAnsi="仿宋" w:eastAsia="仿宋" w:cs="仿宋"/>
          <w:sz w:val="32"/>
          <w:szCs w:val="32"/>
          <w:lang w:val="en-US" w:eastAsia="zh-CN"/>
        </w:rPr>
        <w:t>。</w:t>
      </w:r>
    </w:p>
    <w:p>
      <w:pPr>
        <w:numPr>
          <w:ilvl w:val="0"/>
          <w:numId w:val="2"/>
        </w:numPr>
        <w:spacing w:line="360" w:lineRule="auto"/>
        <w:ind w:left="0" w:leftChars="0" w:firstLine="420" w:firstLineChars="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国际化视角：</w:t>
      </w:r>
      <w:r>
        <w:rPr>
          <w:rFonts w:hint="eastAsia" w:ascii="仿宋" w:hAnsi="仿宋" w:eastAsia="仿宋" w:cs="仿宋"/>
          <w:sz w:val="32"/>
          <w:szCs w:val="32"/>
          <w:lang w:val="en-US" w:eastAsia="zh-CN"/>
        </w:rPr>
        <w:t>闵行区</w:t>
      </w:r>
      <w:r>
        <w:rPr>
          <w:rFonts w:hint="default" w:ascii="仿宋" w:hAnsi="仿宋" w:eastAsia="仿宋" w:cs="仿宋"/>
          <w:sz w:val="32"/>
          <w:szCs w:val="32"/>
          <w:lang w:val="en-US" w:eastAsia="zh-CN"/>
        </w:rPr>
        <w:t>作为</w:t>
      </w:r>
      <w:r>
        <w:rPr>
          <w:rFonts w:hint="eastAsia" w:ascii="仿宋" w:hAnsi="仿宋" w:eastAsia="仿宋" w:cs="仿宋"/>
          <w:sz w:val="32"/>
          <w:szCs w:val="32"/>
          <w:lang w:val="en-US" w:eastAsia="zh-CN"/>
        </w:rPr>
        <w:t>上海第二大区</w:t>
      </w:r>
      <w:r>
        <w:rPr>
          <w:rFonts w:hint="default" w:ascii="仿宋" w:hAnsi="仿宋" w:eastAsia="仿宋" w:cs="仿宋"/>
          <w:sz w:val="32"/>
          <w:szCs w:val="32"/>
          <w:lang w:val="en-US" w:eastAsia="zh-CN"/>
        </w:rPr>
        <w:t>，在数据资产入表方面不仅要考虑国内法规，还需对标国际经验和标准。</w:t>
      </w:r>
      <w:r>
        <w:rPr>
          <w:rFonts w:hint="eastAsia" w:ascii="仿宋" w:hAnsi="仿宋" w:eastAsia="仿宋" w:cs="仿宋"/>
          <w:sz w:val="32"/>
          <w:szCs w:val="32"/>
          <w:lang w:val="en-US" w:eastAsia="zh-CN"/>
        </w:rPr>
        <w:t>建议区内相关部门在制定规范时，</w:t>
      </w:r>
      <w:r>
        <w:rPr>
          <w:rFonts w:hint="default" w:ascii="仿宋" w:hAnsi="仿宋" w:eastAsia="仿宋" w:cs="仿宋"/>
          <w:sz w:val="32"/>
          <w:szCs w:val="32"/>
          <w:lang w:val="en-US" w:eastAsia="zh-CN"/>
        </w:rPr>
        <w:t>在数据管理和保护方面与</w:t>
      </w:r>
      <w:r>
        <w:rPr>
          <w:rFonts w:hint="eastAsia" w:ascii="仿宋" w:hAnsi="仿宋" w:eastAsia="仿宋" w:cs="仿宋"/>
          <w:sz w:val="32"/>
          <w:szCs w:val="32"/>
          <w:lang w:val="en-US" w:eastAsia="zh-CN"/>
        </w:rPr>
        <w:t>国际</w:t>
      </w:r>
      <w:r>
        <w:rPr>
          <w:rFonts w:hint="default" w:ascii="仿宋" w:hAnsi="仿宋" w:eastAsia="仿宋" w:cs="仿宋"/>
          <w:sz w:val="32"/>
          <w:szCs w:val="32"/>
          <w:lang w:val="en-US" w:eastAsia="zh-CN"/>
        </w:rPr>
        <w:t>标准接轨，同时也为</w:t>
      </w:r>
      <w:r>
        <w:rPr>
          <w:rFonts w:hint="eastAsia" w:ascii="仿宋" w:hAnsi="仿宋" w:eastAsia="仿宋" w:cs="仿宋"/>
          <w:sz w:val="32"/>
          <w:szCs w:val="32"/>
          <w:lang w:val="en-US" w:eastAsia="zh-CN"/>
        </w:rPr>
        <w:t>“企业数据出海”的</w:t>
      </w:r>
      <w:r>
        <w:rPr>
          <w:rFonts w:hint="default" w:ascii="仿宋" w:hAnsi="仿宋" w:eastAsia="仿宋" w:cs="仿宋"/>
          <w:sz w:val="32"/>
          <w:szCs w:val="32"/>
          <w:lang w:val="en-US" w:eastAsia="zh-CN"/>
        </w:rPr>
        <w:t>国际合作提供机会。</w:t>
      </w:r>
    </w:p>
    <w:p>
      <w:pPr>
        <w:numPr>
          <w:ilvl w:val="0"/>
          <w:numId w:val="2"/>
        </w:numPr>
        <w:spacing w:line="360" w:lineRule="auto"/>
        <w:ind w:left="0" w:leftChars="0" w:firstLine="420" w:firstLineChars="0"/>
        <w:rPr>
          <w:rFonts w:hint="default" w:ascii="仿宋" w:hAnsi="仿宋" w:eastAsia="仿宋" w:cs="仿宋"/>
          <w:sz w:val="32"/>
          <w:szCs w:val="32"/>
        </w:rPr>
      </w:pPr>
      <w:r>
        <w:rPr>
          <w:rFonts w:hint="default" w:ascii="仿宋" w:hAnsi="仿宋" w:eastAsia="仿宋" w:cs="仿宋"/>
          <w:sz w:val="32"/>
          <w:szCs w:val="32"/>
          <w:lang w:val="en-US" w:eastAsia="zh-CN"/>
        </w:rPr>
        <w:t>数据资产对数字经济的支撑作用：数据资产作为数字经济的重要组成部分，在</w:t>
      </w:r>
      <w:r>
        <w:rPr>
          <w:rFonts w:hint="eastAsia" w:ascii="仿宋" w:hAnsi="仿宋" w:eastAsia="仿宋" w:cs="仿宋"/>
          <w:sz w:val="32"/>
          <w:szCs w:val="32"/>
          <w:lang w:val="en-US" w:eastAsia="zh-CN"/>
        </w:rPr>
        <w:t>区域</w:t>
      </w:r>
      <w:r>
        <w:rPr>
          <w:rFonts w:hint="default" w:ascii="仿宋" w:hAnsi="仿宋" w:eastAsia="仿宋" w:cs="仿宋"/>
          <w:sz w:val="32"/>
          <w:szCs w:val="32"/>
          <w:lang w:val="en-US" w:eastAsia="zh-CN"/>
        </w:rPr>
        <w:t>数字经济发展中扮演着日益重要的角色。政府在推动数据资产入表的同时，也</w:t>
      </w:r>
      <w:r>
        <w:rPr>
          <w:rFonts w:hint="eastAsia" w:ascii="仿宋" w:hAnsi="仿宋" w:eastAsia="仿宋" w:cs="仿宋"/>
          <w:sz w:val="32"/>
          <w:szCs w:val="32"/>
          <w:lang w:val="en-US" w:eastAsia="zh-CN"/>
        </w:rPr>
        <w:t>建议</w:t>
      </w:r>
      <w:r>
        <w:rPr>
          <w:rFonts w:hint="default" w:ascii="仿宋" w:hAnsi="仿宋" w:eastAsia="仿宋" w:cs="仿宋"/>
          <w:sz w:val="32"/>
          <w:szCs w:val="32"/>
        </w:rPr>
        <w:t>通过技术创新、政策支持以及国际合作，进一步提升数据资产管理的效率和安全性。建议政府在</w:t>
      </w:r>
      <w:r>
        <w:rPr>
          <w:rFonts w:hint="eastAsia" w:ascii="仿宋" w:hAnsi="仿宋" w:eastAsia="仿宋" w:cs="仿宋"/>
          <w:sz w:val="32"/>
          <w:szCs w:val="32"/>
          <w:lang w:val="en-US" w:eastAsia="zh-CN"/>
        </w:rPr>
        <w:t>这些</w:t>
      </w:r>
      <w:r>
        <w:rPr>
          <w:rFonts w:hint="default" w:ascii="仿宋" w:hAnsi="仿宋" w:eastAsia="仿宋" w:cs="仿宋"/>
          <w:sz w:val="32"/>
          <w:szCs w:val="32"/>
        </w:rPr>
        <w:t>方面持续投入，制定合适的政策和规范，以引领</w:t>
      </w:r>
      <w:r>
        <w:rPr>
          <w:rFonts w:hint="eastAsia" w:ascii="仿宋" w:hAnsi="仿宋" w:eastAsia="仿宋" w:cs="仿宋"/>
          <w:sz w:val="32"/>
          <w:szCs w:val="32"/>
          <w:lang w:val="en-US" w:eastAsia="zh-CN"/>
        </w:rPr>
        <w:t>我区</w:t>
      </w:r>
      <w:r>
        <w:rPr>
          <w:rFonts w:hint="default" w:ascii="仿宋" w:hAnsi="仿宋" w:eastAsia="仿宋" w:cs="仿宋"/>
          <w:sz w:val="32"/>
          <w:szCs w:val="32"/>
        </w:rPr>
        <w:t>在数据资产管理方面走在国际前列，为数字经济创新发展提供有力支撑。</w:t>
      </w:r>
    </w:p>
    <w:p>
      <w:pPr>
        <w:widowControl w:val="0"/>
        <w:numPr>
          <w:ilvl w:val="0"/>
          <w:numId w:val="0"/>
        </w:numPr>
        <w:spacing w:line="360" w:lineRule="auto"/>
        <w:jc w:val="right"/>
        <w:rPr>
          <w:rFonts w:hint="eastAsia" w:ascii="楷体" w:hAnsi="楷体" w:eastAsia="楷体" w:cs="楷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67C88"/>
    <w:multiLevelType w:val="singleLevel"/>
    <w:tmpl w:val="D9D67C88"/>
    <w:lvl w:ilvl="0" w:tentative="0">
      <w:start w:val="1"/>
      <w:numFmt w:val="chineseCounting"/>
      <w:suff w:val="nothing"/>
      <w:lvlText w:val="%1、"/>
      <w:lvlJc w:val="left"/>
      <w:pPr>
        <w:ind w:left="0" w:firstLine="420"/>
      </w:pPr>
      <w:rPr>
        <w:rFonts w:hint="eastAsia"/>
      </w:rPr>
    </w:lvl>
  </w:abstractNum>
  <w:abstractNum w:abstractNumId="1">
    <w:nsid w:val="0C2ED59E"/>
    <w:multiLevelType w:val="singleLevel"/>
    <w:tmpl w:val="0C2ED59E"/>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MTQ3NDg4NWM2Y2RhODI2NjMxZTAxZDVlOWQ3ZDYifQ=="/>
  </w:docVars>
  <w:rsids>
    <w:rsidRoot w:val="1C575440"/>
    <w:rsid w:val="08761438"/>
    <w:rsid w:val="0AB062FE"/>
    <w:rsid w:val="0BEC2E51"/>
    <w:rsid w:val="0F7B778D"/>
    <w:rsid w:val="1C575440"/>
    <w:rsid w:val="211F1A3D"/>
    <w:rsid w:val="24F627AC"/>
    <w:rsid w:val="2A174443"/>
    <w:rsid w:val="35BE2E72"/>
    <w:rsid w:val="3AB57B20"/>
    <w:rsid w:val="3AC0143A"/>
    <w:rsid w:val="3DCA67EC"/>
    <w:rsid w:val="494616A5"/>
    <w:rsid w:val="4DE66FB2"/>
    <w:rsid w:val="56692DBF"/>
    <w:rsid w:val="5B8D3163"/>
    <w:rsid w:val="5CFF5C21"/>
    <w:rsid w:val="5F46765E"/>
    <w:rsid w:val="660A71B1"/>
    <w:rsid w:val="6A107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TML Code"/>
    <w:basedOn w:val="7"/>
    <w:qFormat/>
    <w:uiPriority w:val="0"/>
    <w:rPr>
      <w:rFonts w:ascii="Courier New" w:hAnsi="Courier New"/>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2023-12-10T07:00:00Z</dcterms:created>
  <dc:creator>尚拙</dc:creator>
  <cp:lastModifiedBy>尚拙</cp:lastModifiedBy>
  <dcterms:modified xsi:type="dcterms:W3CDTF">2024-01-14T15:31:11Z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422BA38709254B15AC3DF2A34434E1E3_13</vt:lpwstr>
  </property>
</Properties>
</file>