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w w:val="98"/>
          <w:sz w:val="36"/>
          <w:szCs w:val="36"/>
          <w:lang w:val="en-US" w:eastAsia="zh-CN"/>
        </w:rPr>
      </w:pPr>
      <w:r>
        <w:rPr>
          <w:rFonts w:hint="eastAsia" w:ascii="方正小标宋简体" w:hAnsi="方正小标宋简体" w:eastAsia="方正小标宋简体" w:cs="方正小标宋简体"/>
          <w:w w:val="98"/>
          <w:sz w:val="36"/>
          <w:szCs w:val="36"/>
          <w:lang w:val="en-US" w:eastAsia="zh-CN"/>
        </w:rPr>
        <w:t>关于高质量建设</w:t>
      </w:r>
      <w:r>
        <w:rPr>
          <w:rFonts w:hint="eastAsia" w:ascii="方正小标宋简体" w:hAnsi="方正小标宋简体" w:eastAsia="方正小标宋简体" w:cs="方正小标宋简体"/>
          <w:w w:val="98"/>
          <w:sz w:val="36"/>
          <w:szCs w:val="36"/>
        </w:rPr>
        <w:t>虹桥国际中央法务区</w:t>
      </w:r>
      <w:r>
        <w:rPr>
          <w:rFonts w:hint="eastAsia" w:ascii="方正小标宋简体" w:hAnsi="方正小标宋简体" w:eastAsia="方正小标宋简体" w:cs="方正小标宋简体"/>
          <w:w w:val="98"/>
          <w:sz w:val="36"/>
          <w:szCs w:val="36"/>
          <w:lang w:eastAsia="zh-CN"/>
        </w:rPr>
        <w:t>的建议</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一、</w:t>
      </w:r>
      <w:r>
        <w:rPr>
          <w:rFonts w:hint="eastAsia" w:ascii="黑体" w:hAnsi="黑体" w:eastAsia="黑体" w:cs="黑体"/>
          <w:color w:val="000000" w:themeColor="text1"/>
          <w:w w:val="98"/>
          <w:sz w:val="32"/>
          <w:szCs w:val="32"/>
          <w14:textFill>
            <w14:solidFill>
              <w14:schemeClr w14:val="tx1"/>
            </w14:solidFill>
          </w14:textFill>
        </w:rPr>
        <w:t>背景</w:t>
      </w:r>
    </w:p>
    <w:p>
      <w:pPr>
        <w:pStyle w:val="4"/>
        <w:keepNext w:val="0"/>
        <w:keepLines w:val="0"/>
        <w:pageBreakBefore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近年来，在上海市司法局、虹桥国际中央商务区管委会、闵行区人民政府的共同推动下，虹桥国际中央法务区打造了高标准法律服务集聚新高地，树立了长三角区域法律服务新地标，擦亮了法治化营商环境建设新品牌，最大程度发挥“极中极”和“核中核”的区位优势，形成了全链条、全方位、特色鲜明的法律服务生态圈。</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二、问题及分析</w:t>
      </w:r>
    </w:p>
    <w:p>
      <w:pPr>
        <w:pStyle w:val="4"/>
        <w:keepNext w:val="0"/>
        <w:keepLines w:val="0"/>
        <w:pageBreakBefore w:val="0"/>
        <w:numPr>
          <w:ilvl w:val="0"/>
          <w:numId w:val="0"/>
        </w:numPr>
        <w:kinsoku/>
        <w:wordWrap/>
        <w:overflowPunct/>
        <w:topLinePunct w:val="0"/>
        <w:autoSpaceDE/>
        <w:autoSpaceDN/>
        <w:bidi w:val="0"/>
        <w:adjustRightInd/>
        <w:snapToGrid/>
        <w:spacing w:after="0" w:line="360" w:lineRule="auto"/>
        <w:ind w:firstLine="628" w:firstLineChars="200"/>
        <w:jc w:val="both"/>
        <w:textAlignment w:val="auto"/>
        <w:rPr>
          <w:rFonts w:hint="eastAsia" w:ascii="仿宋_GB2312" w:hAnsi="仿宋_GB2312" w:eastAsia="仿宋_GB2312" w:cs="仿宋_GB2312"/>
          <w:color w:val="000000" w:themeColor="text1"/>
          <w:w w:val="98"/>
          <w:sz w:val="32"/>
          <w:szCs w:val="32"/>
          <w14:textFill>
            <w14:solidFill>
              <w14:schemeClr w14:val="tx1"/>
            </w14:solidFill>
          </w14:textFill>
        </w:rPr>
      </w:pPr>
      <w:r>
        <w:rPr>
          <w:rFonts w:hint="eastAsia" w:ascii="仿宋_GB2312" w:hAnsi="仿宋_GB2312" w:eastAsia="仿宋_GB2312" w:cs="仿宋_GB2312"/>
          <w:b/>
          <w:bCs/>
          <w:color w:val="000000" w:themeColor="text1"/>
          <w:w w:val="98"/>
          <w:sz w:val="32"/>
          <w:szCs w:val="32"/>
          <w:lang w:val="en-US" w:eastAsia="zh-CN"/>
          <w14:textFill>
            <w14:solidFill>
              <w14:schemeClr w14:val="tx1"/>
            </w14:solidFill>
          </w14:textFill>
        </w:rPr>
        <w:t>（一）争做前沿行业洞悉者的力度还不强。</w:t>
      </w:r>
      <w:r>
        <w:rPr>
          <w:rFonts w:hint="eastAsia" w:ascii="仿宋_GB2312" w:hAnsi="仿宋_GB2312" w:eastAsia="仿宋_GB2312" w:cs="仿宋_GB2312"/>
          <w:color w:val="000000" w:themeColor="text1"/>
          <w:w w:val="98"/>
          <w:sz w:val="32"/>
          <w:szCs w:val="32"/>
          <w:lang w:val="en-US" w:eastAsia="zh-CN"/>
          <w14:textFill>
            <w14:solidFill>
              <w14:schemeClr w14:val="tx1"/>
            </w14:solidFill>
          </w14:textFill>
        </w:rPr>
        <w:t>缺乏</w:t>
      </w:r>
      <w:r>
        <w:rPr>
          <w:rFonts w:hint="eastAsia" w:ascii="仿宋_GB2312" w:hAnsi="仿宋_GB2312" w:eastAsia="仿宋_GB2312" w:cs="仿宋_GB2312"/>
          <w:color w:val="000000" w:themeColor="text1"/>
          <w:w w:val="98"/>
          <w:sz w:val="32"/>
          <w:szCs w:val="32"/>
          <w14:textFill>
            <w14:solidFill>
              <w14:schemeClr w14:val="tx1"/>
            </w14:solidFill>
          </w14:textFill>
        </w:rPr>
        <w:t>有针对性的招商推介活动，精准定位高能级和国际化，引进标志性、引领性的各类法律服务机构入驻</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98"/>
          <w:sz w:val="32"/>
          <w:szCs w:val="32"/>
          <w14:textFill>
            <w14:solidFill>
              <w14:schemeClr w14:val="tx1"/>
            </w14:solidFill>
          </w14:textFill>
        </w:rPr>
        <w:t>尤其是在金融银行、知识产权、海事海商、公司、证券等诸多细分领域的法律服务能力仍需提升。</w:t>
      </w:r>
    </w:p>
    <w:p>
      <w:pPr>
        <w:pStyle w:val="4"/>
        <w:keepNext w:val="0"/>
        <w:keepLines w:val="0"/>
        <w:pageBreakBefore w:val="0"/>
        <w:numPr>
          <w:ilvl w:val="0"/>
          <w:numId w:val="0"/>
        </w:numPr>
        <w:kinsoku/>
        <w:wordWrap/>
        <w:overflowPunct/>
        <w:topLinePunct w:val="0"/>
        <w:autoSpaceDE/>
        <w:autoSpaceDN/>
        <w:bidi w:val="0"/>
        <w:adjustRightInd/>
        <w:snapToGrid/>
        <w:spacing w:after="0" w:line="360" w:lineRule="auto"/>
        <w:ind w:firstLine="628" w:firstLineChars="200"/>
        <w:jc w:val="both"/>
        <w:textAlignment w:val="auto"/>
        <w:rPr>
          <w:rFonts w:hint="eastAsia" w:ascii="仿宋_GB2312" w:hAnsi="仿宋_GB2312" w:eastAsia="仿宋_GB2312" w:cs="仿宋_GB2312"/>
          <w:color w:val="000000" w:themeColor="text1"/>
          <w:w w:val="98"/>
          <w:sz w:val="32"/>
          <w:szCs w:val="32"/>
          <w14:textFill>
            <w14:solidFill>
              <w14:schemeClr w14:val="tx1"/>
            </w14:solidFill>
          </w14:textFill>
        </w:rPr>
      </w:pPr>
      <w:r>
        <w:rPr>
          <w:rFonts w:hint="eastAsia" w:ascii="仿宋_GB2312" w:hAnsi="仿宋_GB2312" w:eastAsia="仿宋_GB2312" w:cs="仿宋_GB2312"/>
          <w:b/>
          <w:bCs/>
          <w:color w:val="000000" w:themeColor="text1"/>
          <w:w w:val="98"/>
          <w:sz w:val="32"/>
          <w:szCs w:val="32"/>
          <w:lang w:val="en-US" w:eastAsia="zh-CN"/>
          <w14:textFill>
            <w14:solidFill>
              <w14:schemeClr w14:val="tx1"/>
            </w14:solidFill>
          </w14:textFill>
        </w:rPr>
        <w:t>（二）争做企业互惠推动者的责任还不实</w:t>
      </w:r>
      <w:r>
        <w:rPr>
          <w:rFonts w:hint="eastAsia" w:ascii="仿宋_GB2312" w:hAnsi="仿宋_GB2312" w:eastAsia="仿宋_GB2312" w:cs="仿宋_GB2312"/>
          <w:color w:val="000000" w:themeColor="text1"/>
          <w:w w:val="98"/>
          <w:sz w:val="32"/>
          <w:szCs w:val="32"/>
          <w14:textFill>
            <w14:solidFill>
              <w14:schemeClr w14:val="tx1"/>
            </w14:solidFill>
          </w14:textFill>
        </w:rPr>
        <w:t>。长三角法律服务会客厅、国际法律服务会客厅</w:t>
      </w:r>
      <w:r>
        <w:rPr>
          <w:rFonts w:hint="eastAsia" w:ascii="仿宋_GB2312" w:hAnsi="仿宋_GB2312" w:eastAsia="仿宋_GB2312" w:cs="仿宋_GB2312"/>
          <w:color w:val="000000" w:themeColor="text1"/>
          <w:w w:val="98"/>
          <w:sz w:val="32"/>
          <w:szCs w:val="32"/>
          <w:lang w:val="en-US" w:eastAsia="zh-CN"/>
          <w14:textFill>
            <w14:solidFill>
              <w14:schemeClr w14:val="tx1"/>
            </w14:solidFill>
          </w14:textFill>
        </w:rPr>
        <w:t>的功能尚未充分发挥</w:t>
      </w:r>
      <w:r>
        <w:rPr>
          <w:rFonts w:hint="eastAsia" w:ascii="仿宋_GB2312" w:hAnsi="仿宋_GB2312" w:eastAsia="仿宋_GB2312" w:cs="仿宋_GB2312"/>
          <w:color w:val="000000" w:themeColor="text1"/>
          <w:w w:val="98"/>
          <w:sz w:val="32"/>
          <w:szCs w:val="32"/>
          <w14:textFill>
            <w14:solidFill>
              <w14:schemeClr w14:val="tx1"/>
            </w14:solidFill>
          </w14:textFill>
        </w:rPr>
        <w:t>，与长三角县市、知名高等院校的合作交流仍需深入，与时俱进开拓产业创新布局方向，</w:t>
      </w:r>
      <w:r>
        <w:rPr>
          <w:rFonts w:hint="eastAsia" w:ascii="仿宋_GB2312" w:hAnsi="仿宋_GB2312" w:eastAsia="仿宋_GB2312" w:cs="仿宋_GB2312"/>
          <w:color w:val="000000" w:themeColor="text1"/>
          <w:w w:val="98"/>
          <w:sz w:val="32"/>
          <w:szCs w:val="32"/>
          <w:lang w:val="en-US" w:eastAsia="zh-CN"/>
          <w14:textFill>
            <w14:solidFill>
              <w14:schemeClr w14:val="tx1"/>
            </w14:solidFill>
          </w14:textFill>
        </w:rPr>
        <w:t>深入</w:t>
      </w:r>
      <w:r>
        <w:rPr>
          <w:rFonts w:hint="eastAsia" w:ascii="仿宋_GB2312" w:hAnsi="仿宋_GB2312" w:eastAsia="仿宋_GB2312" w:cs="仿宋_GB2312"/>
          <w:color w:val="000000" w:themeColor="text1"/>
          <w:w w:val="98"/>
          <w:sz w:val="32"/>
          <w:szCs w:val="32"/>
          <w14:textFill>
            <w14:solidFill>
              <w14:schemeClr w14:val="tx1"/>
            </w14:solidFill>
          </w14:textFill>
        </w:rPr>
        <w:t>推动长三角法律服务业的协同互通</w:t>
      </w:r>
      <w:r>
        <w:rPr>
          <w:rFonts w:hint="eastAsia" w:ascii="仿宋_GB2312" w:hAnsi="仿宋_GB2312" w:eastAsia="仿宋_GB2312" w:cs="仿宋_GB2312"/>
          <w:color w:val="000000" w:themeColor="text1"/>
          <w:w w:val="98"/>
          <w:sz w:val="32"/>
          <w:szCs w:val="32"/>
          <w:lang w:val="en-US" w:eastAsia="zh-CN"/>
          <w14:textFill>
            <w14:solidFill>
              <w14:schemeClr w14:val="tx1"/>
            </w14:solidFill>
          </w14:textFill>
        </w:rPr>
        <w:t>的质效仍需进一步</w:t>
      </w:r>
      <w:r>
        <w:rPr>
          <w:rFonts w:hint="eastAsia" w:ascii="仿宋_GB2312" w:hAnsi="仿宋_GB2312" w:eastAsia="仿宋_GB2312" w:cs="仿宋_GB2312"/>
          <w:color w:val="000000" w:themeColor="text1"/>
          <w:w w:val="98"/>
          <w:sz w:val="32"/>
          <w:szCs w:val="32"/>
          <w14:textFill>
            <w14:solidFill>
              <w14:schemeClr w14:val="tx1"/>
            </w14:solidFill>
          </w14:textFill>
        </w:rPr>
        <w:t>融合及拓展。</w:t>
      </w:r>
    </w:p>
    <w:p>
      <w:pPr>
        <w:pStyle w:val="4"/>
        <w:keepNext w:val="0"/>
        <w:keepLines w:val="0"/>
        <w:pageBreakBefore w:val="0"/>
        <w:numPr>
          <w:ilvl w:val="0"/>
          <w:numId w:val="0"/>
        </w:numPr>
        <w:kinsoku/>
        <w:wordWrap/>
        <w:overflowPunct/>
        <w:topLinePunct w:val="0"/>
        <w:autoSpaceDE/>
        <w:autoSpaceDN/>
        <w:bidi w:val="0"/>
        <w:adjustRightInd/>
        <w:snapToGrid/>
        <w:spacing w:after="0" w:line="360" w:lineRule="auto"/>
        <w:ind w:firstLine="628" w:firstLineChars="200"/>
        <w:jc w:val="both"/>
        <w:textAlignment w:val="auto"/>
        <w:rPr>
          <w:rFonts w:hint="eastAsia" w:ascii="仿宋_GB2312" w:hAnsi="仿宋_GB2312" w:eastAsia="仿宋_GB2312" w:cs="仿宋_GB2312"/>
          <w:color w:val="000000" w:themeColor="text1"/>
          <w:w w:val="98"/>
          <w:sz w:val="32"/>
          <w:szCs w:val="32"/>
          <w14:textFill>
            <w14:solidFill>
              <w14:schemeClr w14:val="tx1"/>
            </w14:solidFill>
          </w14:textFill>
        </w:rPr>
      </w:pPr>
      <w:r>
        <w:rPr>
          <w:rFonts w:hint="eastAsia" w:ascii="仿宋_GB2312" w:hAnsi="仿宋_GB2312" w:eastAsia="仿宋_GB2312" w:cs="仿宋_GB2312"/>
          <w:b/>
          <w:bCs/>
          <w:color w:val="000000" w:themeColor="text1"/>
          <w:w w:val="98"/>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w w:val="98"/>
          <w:sz w:val="32"/>
          <w:szCs w:val="32"/>
          <w14:textFill>
            <w14:solidFill>
              <w14:schemeClr w14:val="tx1"/>
            </w14:solidFill>
          </w14:textFill>
        </w:rPr>
        <w:t>争做风险与合规守卫者的氛围还不浓</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98"/>
          <w:sz w:val="32"/>
          <w:szCs w:val="32"/>
          <w14:textFill>
            <w14:solidFill>
              <w14:schemeClr w14:val="tx1"/>
            </w14:solidFill>
          </w14:textFill>
        </w:rPr>
        <w:t>法务区</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专家顾问团</w:t>
      </w:r>
      <w:r>
        <w:rPr>
          <w:rFonts w:hint="eastAsia" w:ascii="仿宋_GB2312" w:hAnsi="仿宋_GB2312" w:eastAsia="仿宋_GB2312" w:cs="仿宋_GB2312"/>
          <w:color w:val="000000" w:themeColor="text1"/>
          <w:w w:val="98"/>
          <w:sz w:val="32"/>
          <w:szCs w:val="32"/>
          <w14:textFill>
            <w14:solidFill>
              <w14:schemeClr w14:val="tx1"/>
            </w14:solidFill>
          </w14:textFill>
        </w:rPr>
        <w:t>功能尚未彻底发挥</w:t>
      </w:r>
      <w:r>
        <w:rPr>
          <w:rFonts w:hint="eastAsia" w:ascii="仿宋_GB2312" w:hAnsi="仿宋_GB2312" w:eastAsia="仿宋_GB2312" w:cs="仿宋_GB2312"/>
          <w:color w:val="000000" w:themeColor="text1"/>
          <w:w w:val="98"/>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98"/>
          <w:sz w:val="32"/>
          <w:szCs w:val="32"/>
          <w14:textFill>
            <w14:solidFill>
              <w14:schemeClr w14:val="tx1"/>
            </w14:solidFill>
          </w14:textFill>
        </w:rPr>
        <w:t>依托虹桥国际中央法务区平台，持续将本区域打造成“高端法务资源集聚之地、商事仲裁处理优选之区和知识产权保护示范之城”，为辖区产业发展营造稳定、公平、透明和近悦远来的良好环境尚需持续打造和营造。</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三、意见建议</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（一）构建一站式多元纠纷解决机制</w:t>
      </w:r>
    </w:p>
    <w:p>
      <w:pPr>
        <w:pStyle w:val="4"/>
        <w:keepNext w:val="0"/>
        <w:keepLines w:val="0"/>
        <w:pageBreakBefore w:val="0"/>
        <w:kinsoku/>
        <w:wordWrap/>
        <w:overflowPunct/>
        <w:topLinePunct w:val="0"/>
        <w:autoSpaceDE/>
        <w:autoSpaceDN/>
        <w:bidi w:val="0"/>
        <w:adjustRightInd/>
        <w:snapToGrid/>
        <w:spacing w:after="0" w:line="360" w:lineRule="auto"/>
        <w:ind w:firstLine="640"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支持在虹桥国际中央商务区试点建立调解、仲裁、诉讼相衔接的涉外商事纠纷一站式解决机制，提供友好的磋商平台、融洽的调解平台、高效的仲裁平台、公正的诉讼平台，将纠纷集中在虹桥中央法务区解决。统筹安排法务区内调解机构、仲裁机构、诉讼机构，遴选推荐区域内特别是法务区内优秀律师事务所。</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（二）建立法务区基层立法联系点</w:t>
      </w:r>
    </w:p>
    <w:p>
      <w:pPr>
        <w:pStyle w:val="4"/>
        <w:keepNext w:val="0"/>
        <w:keepLines w:val="0"/>
        <w:pageBreakBefore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建立虹桥中央法务区基层立法联系点，一方面将基层立法联系点的基层属性、立法属性、联通属性与中央法务区的专业优势、人才优势、资源优势有机结合起来，形成强大工作合力，全面客观反映法务界的建议、呼声，当好地方立法的联络员、信息员、宣传员。另一方面聚焦商务区企业发展需求，及时收集汇总企业的立法声音，提供点对点“法治体检”“法治问诊”等服务，切实将法治实践中遇到的问题转化为立法建议和意见，让更多立法成果惠及企业和群众。</w:t>
      </w:r>
    </w:p>
    <w:p>
      <w:pPr>
        <w:pStyle w:val="4"/>
        <w:keepNext w:val="0"/>
        <w:keepLines w:val="0"/>
        <w:pageBreakBefore w:val="0"/>
        <w:kinsoku/>
        <w:wordWrap/>
        <w:overflowPunct/>
        <w:topLinePunct w:val="0"/>
        <w:autoSpaceDE/>
        <w:autoSpaceDN/>
        <w:bidi w:val="0"/>
        <w:adjustRightInd/>
        <w:snapToGrid/>
        <w:spacing w:after="0" w:line="360" w:lineRule="auto"/>
        <w:ind w:firstLine="626" w:firstLineChars="200"/>
        <w:jc w:val="both"/>
        <w:textAlignment w:val="auto"/>
        <w:rPr>
          <w:rFonts w:hint="eastAsia" w:ascii="黑体" w:hAnsi="黑体" w:eastAsia="黑体" w:cs="黑体"/>
          <w:color w:val="000000" w:themeColor="text1"/>
          <w:w w:val="98"/>
          <w:sz w:val="32"/>
          <w:szCs w:val="32"/>
          <w:lang w:val="en-US" w:eastAsia="zh-CN"/>
          <w14:textFill>
            <w14:solidFill>
              <w14:schemeClr w14:val="tx1"/>
            </w14:solidFill>
          </w14:textFill>
        </w:rPr>
      </w:pPr>
      <w:r>
        <w:rPr>
          <w:rFonts w:hint="eastAsia" w:ascii="黑体" w:hAnsi="黑体" w:eastAsia="黑体" w:cs="黑体"/>
          <w:color w:val="000000" w:themeColor="text1"/>
          <w:w w:val="98"/>
          <w:sz w:val="32"/>
          <w:szCs w:val="32"/>
          <w:lang w:val="en-US" w:eastAsia="zh-CN"/>
          <w14:textFill>
            <w14:solidFill>
              <w14:schemeClr w14:val="tx1"/>
            </w14:solidFill>
          </w14:textFill>
        </w:rPr>
        <w:t>（三）建立系统科学评估体系。</w:t>
      </w:r>
    </w:p>
    <w:p>
      <w:pPr>
        <w:pStyle w:val="4"/>
        <w:keepNext w:val="0"/>
        <w:keepLines w:val="0"/>
        <w:pageBreakBefore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发挥专家顾问团作用，在完善顶层设计的基础上，探索建立系统性的评估体系。根据法律服务需求拓宽法律服务领域，提供定制特色化、个性化法律服务，在服务产业发展的</w:t>
      </w:r>
      <w:bookmarkStart w:id="0" w:name="_GoBack"/>
      <w:bookmarkEnd w:id="0"/>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同时涵养专业要素高度集聚的法律服务生态圈，为推进落实长三角一体化和虹桥国际开放枢纽建设国家战略提供有效法治保障。</w:t>
      </w:r>
    </w:p>
    <w:p>
      <w:pPr>
        <w:pStyle w:val="4"/>
        <w:keepNext w:val="0"/>
        <w:keepLines w:val="0"/>
        <w:pageBreakBefore w:val="0"/>
        <w:kinsoku/>
        <w:wordWrap/>
        <w:overflowPunct/>
        <w:topLinePunct w:val="0"/>
        <w:autoSpaceDE/>
        <w:autoSpaceDN/>
        <w:bidi w:val="0"/>
        <w:adjustRightInd/>
        <w:snapToGrid/>
        <w:spacing w:after="0" w:line="360" w:lineRule="auto"/>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金山简魏碑">
    <w:altName w:val="方正魏碑_GBK"/>
    <w:panose1 w:val="00000000000000000000"/>
    <w:charset w:val="00"/>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Dk2MTYyZDBlMzNjM2MxNjcyNDczM2UzYzJhNDMifQ=="/>
  </w:docVars>
  <w:rsids>
    <w:rsidRoot w:val="5AD51BA7"/>
    <w:rsid w:val="33517207"/>
    <w:rsid w:val="5AD51BA7"/>
    <w:rsid w:val="BFCDE24D"/>
    <w:rsid w:val="E675DB26"/>
    <w:rsid w:val="F1DE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rPr>
  </w:style>
  <w:style w:type="paragraph" w:styleId="4">
    <w:name w:val="Body Text"/>
    <w:basedOn w:val="1"/>
    <w:qFormat/>
    <w:uiPriority w:val="0"/>
    <w:pPr>
      <w:spacing w:before="0" w:after="140" w:line="276" w:lineRule="auto"/>
    </w:p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next w:val="9"/>
    <w:qFormat/>
    <w:uiPriority w:val="0"/>
    <w:pPr>
      <w:jc w:val="center"/>
    </w:pPr>
    <w:rPr>
      <w:rFonts w:ascii="Times New Roman" w:hAnsi="Times New Roman" w:eastAsia="金山简魏碑" w:cs="Times New Roman"/>
      <w:sz w:val="44"/>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2024-01-10T04:56:00Z</dcterms:created>
  <dc:creator>彭辉</dc:creator>
  <cp:lastModifiedBy>mhxc</cp:lastModifiedBy>
  <dcterms:modified xsi:type="dcterms:W3CDTF">2024-01-16T07:55:06Z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424A66BB42DF4906BE6411EB221CB0DC_13</vt:lpwstr>
  </property>
</Properties>
</file>