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szCs w:val="52"/>
        </w:rPr>
      </w:pPr>
      <w:r>
        <w:rPr>
          <w:rFonts w:hint="eastAsia"/>
          <w:b/>
          <w:bCs/>
          <w:sz w:val="52"/>
          <w:szCs w:val="52"/>
        </w:rPr>
        <w:t>关于加</w:t>
      </w:r>
      <w:r>
        <w:rPr>
          <w:rFonts w:hint="eastAsia"/>
          <w:b/>
          <w:bCs/>
          <w:sz w:val="52"/>
          <w:szCs w:val="52"/>
          <w:lang w:eastAsia="zh-CN"/>
        </w:rPr>
        <w:t>强</w:t>
      </w:r>
      <w:r>
        <w:rPr>
          <w:rFonts w:hint="eastAsia"/>
          <w:b/>
          <w:bCs/>
          <w:sz w:val="52"/>
          <w:szCs w:val="52"/>
        </w:rPr>
        <w:t>大零号湾人才引进工作力度的建议</w:t>
      </w:r>
    </w:p>
    <w:p>
      <w:pPr>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上海</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闵行区“大零号湾”科技创新策源功能区是在原“零号湾”双创园区的基础上拓展而来，核心区域约17平方公里，先后获得国家发改委“国家首批双创示范基地”、科技部“国家科技成果转移转化示范区”等称号，并入选科技部、教育部“未来产业科技园建设试点”名单。目前，“大零号湾”已建成投用高能级科创载体18个，入驻硬科技企业3000余家，一大批创新中心和成果项目相继落地，开放式科创街区初具规模。 对标国际标杆科创区域，闵行区仍要不断优化校区、园区、社区三区联动，切实强化科技创新策源功能，促进科技成果转移转化，培育壮大经济发展新动能。近年来，“大零号湾”作为上海建设科技创新中心的重要载体和平台，拥有得天独厚的地理优势和丰富的科技资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为了进一步推动区域经济发展和科技创新，人才引进工作成为了重中之重。</w:t>
      </w:r>
    </w:p>
    <w:p>
      <w:pPr>
        <w:ind w:firstLine="600" w:firstLineChars="200"/>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人才引进工作的</w:t>
      </w:r>
      <w:r>
        <w:rPr>
          <w:rFonts w:hint="eastAsia" w:ascii="仿宋_GB2312" w:hAnsi="仿宋_GB2312" w:eastAsia="仿宋_GB2312" w:cs="仿宋_GB2312"/>
          <w:sz w:val="30"/>
          <w:szCs w:val="30"/>
        </w:rPr>
        <w:t>问题</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人才引进政策不够突出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虽然闵行区政府已经出台了一系列人才引进政策，但这些政策在吸引高端人才方面缺乏一定的竞争力。同时，政策的宣传和推广力度不够，导致一些企业对于政策的具体内容了解不足，难以有效利用这些政策引进优秀人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人才评价标准不够科学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目前，闵行区大零号湾人才评价标准主要集中在科技创新能力、成果转化能力等方面，而对于产业基础、生态环境等方面的考虑较少。这种评价方式容易导致人才引进后难以适应本地区的产业环境和生态环境，也难以满足本地区产业发展的实际需求。</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人才服务体系不够完善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闵行区大零号湾在人才服务方面还存在一些短板，如缺乏完善的创新创业支持体系、人才公寓和子女教育等方面的配套服务。这些问题会影响人才的居住和工作环境，也容易导致人才流失现象的发生。</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人才引进后续支持不足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人才引进后，闵行区政府需要为这些人才提供充足的后续支持。然而，目前存在一些引进后支持不足的情况，如缺乏足够的科研经费、创新创业支持政策不够完善等。这些问题不仅会影响人才的科研和创新创业热情，也会导致人才流失现象的加剧。</w:t>
      </w:r>
    </w:p>
    <w:p>
      <w:pPr>
        <w:ind w:firstLine="600" w:firstLineChars="200"/>
        <w:rPr>
          <w:rFonts w:hint="eastAsia"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二、</w:t>
      </w:r>
      <w:r>
        <w:rPr>
          <w:rFonts w:hint="eastAsia" w:ascii="仿宋_GB2312" w:hAnsi="仿宋_GB2312" w:eastAsia="仿宋_GB2312" w:cs="仿宋_GB2312"/>
          <w:sz w:val="30"/>
          <w:szCs w:val="30"/>
          <w:lang w:eastAsia="zh-CN"/>
        </w:rPr>
        <w:t>人才引进工作的</w:t>
      </w:r>
      <w:r>
        <w:rPr>
          <w:rFonts w:hint="eastAsia" w:ascii="仿宋_GB2312" w:hAnsi="仿宋_GB2312" w:eastAsia="仿宋_GB2312" w:cs="仿宋_GB2312"/>
          <w:sz w:val="30"/>
          <w:szCs w:val="30"/>
        </w:rPr>
        <w:t>建议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完善人才政策体系。首先，需要制定更加灵活、多样化的人才政策，以满足不同层次、不同领域的人才需求。例如，对于高层次人才，可以提供更加优惠的待遇和福利，包括住房、医疗、子女教育、科研经费等方面的支持。同时对于一般人才，也可以通过提供生活补贴、租房优惠、就业扶持等方式加以吸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加强人才引进宣传力度。通过各种渠道，包括网络、媒体、招聘会等，加大宣传力度，提高大零号湾的知名度和美誉度。同时可以组织一些具有影响力的活动，如科技论坛、创新创业大赛等，吸引更多的优秀人才关注大零号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建立人才引进评估机制。为了确保人才引进工作的有效性和持续性，需要建立一套科学、合理的人才引进评估机制。该机制应包括对人才质量的评估、人才引进成本的核算、人才流失率的统计等方面的内容。通过对这些指标的评估和分析，可以及时发现问题并采取相应的措施加以改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加强与高校和科研机构的合作。高校和科研机构是大零号湾的重要资源之一，加强与它们的合作对于人才引进工作具有重要意义。可以通过共建实验室、联合开展科研项目、共享资源等方式，提高高校和科研机构的人才培养和引进能力。同时，还可以通过与高校和科研机构合作举办招聘活动，吸引更多的优秀毕业生和科研人员来到大零号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重视人才流失问题。大零号湾在人才引进方面取得了一定的成绩的同时，也存在一定的人才流失问题。建议相关部门加强对人才流失原因的分析和研究，制定相应的措施加以应对。例如，可以提供更加优惠的待遇和福利，改善工作环境和氛围等，以留住更多的人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加强人才引进后的后续服务和跟踪管理。在人才引进后，相关部门还需要加强服务和管理，帮助人才更好地适应大零号湾的生活和工作。例如，可以提供相关的培训和指导，协助解决住房、子女教育等问题，提高人才的工作积极性和创造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推动人才国际化发展。为了更好地融入全球科技创新网络，大零号湾需要推动人才的国际化发展。可以通过提供更多的国际交流机会、吸引海外人才等方式，提高人才的国际化水平。同时，还可以通过与国际知名企业和机构合作开展项目、共建实验室等方式，吸引更多的海外优秀人才来到大零号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89"/>
    <w:rsid w:val="001C5979"/>
    <w:rsid w:val="003C6389"/>
    <w:rsid w:val="006E0D59"/>
    <w:rsid w:val="00BB680A"/>
    <w:rsid w:val="00C35E52"/>
    <w:rsid w:val="135A290C"/>
    <w:rsid w:val="197951A4"/>
    <w:rsid w:val="2B72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168</Words>
  <Characters>961</Characters>
  <Lines>8</Lines>
  <Paragraphs>2</Paragraphs>
  <TotalTime>8</TotalTime>
  <ScaleCrop>false</ScaleCrop>
  <LinksUpToDate>false</LinksUpToDate>
  <CharactersWithSpaces>1127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2023-12-03T13:15:00Z</dcterms:created>
  <dc:creator>Administrator</dc:creator>
  <cp:lastModifiedBy>Administrator</cp:lastModifiedBy>
  <dcterms:modified xsi:type="dcterms:W3CDTF">2023-12-04T09:43:02Z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MSIP_Label_2f065793-cb5f-4919-86bd-a613a0bd79ee_Enabled">
    <vt:lpwstr>true</vt:lpwstr>
  </property>
  <property fmtid="{D5CDD505-2E9C-101B-9397-08002B2CF9AE}" pid="4" name="MSIP_Label_2f065793-cb5f-4919-86bd-a613a0bd79ee_SetDate">
    <vt:lpwstr>2023-12-03T13:15:38Z</vt:lpwstr>
  </property>
  <property fmtid="{D5CDD505-2E9C-101B-9397-08002B2CF9AE}" pid="5" name="MSIP_Label_2f065793-cb5f-4919-86bd-a613a0bd79ee_Method">
    <vt:lpwstr>Standard</vt:lpwstr>
  </property>
  <property fmtid="{D5CDD505-2E9C-101B-9397-08002B2CF9AE}" pid="6" name="MSIP_Label_2f065793-cb5f-4919-86bd-a613a0bd79ee_Name">
    <vt:lpwstr>2f065793-cb5f-4919-86bd-a613a0bd79ee</vt:lpwstr>
  </property>
  <property fmtid="{D5CDD505-2E9C-101B-9397-08002B2CF9AE}" pid="7" name="MSIP_Label_2f065793-cb5f-4919-86bd-a613a0bd79ee_SiteId">
    <vt:lpwstr>e7ee4711-c0b1-4311-b500-b80d89e5b298</vt:lpwstr>
  </property>
  <property fmtid="{D5CDD505-2E9C-101B-9397-08002B2CF9AE}" pid="8" name="MSIP_Label_2f065793-cb5f-4919-86bd-a613a0bd79ee_ActionId">
    <vt:lpwstr>d7d69069-3630-4d8f-aabe-ba8f95876ac6</vt:lpwstr>
  </property>
  <property fmtid="{D5CDD505-2E9C-101B-9397-08002B2CF9AE}" pid="9" name="MSIP_Label_2f065793-cb5f-4919-86bd-a613a0bd79ee_ContentBits">
    <vt:lpwstr>0</vt:lpwstr>
  </property>
</Properties>
</file>